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610E" w14:textId="77777777" w:rsidR="00B41AE4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outlineLvl w:val="0"/>
        <w:rPr>
          <w:rFonts w:ascii="Verdana" w:hAnsi="Verdan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ourier" w:hAnsi="Courier"/>
          <w:noProof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4AF08CA6" wp14:editId="09508F54">
            <wp:extent cx="1905000" cy="772508"/>
            <wp:effectExtent l="0" t="0" r="0" b="0"/>
            <wp:docPr id="1073741825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3" descr="Immagin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72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334547E" w14:textId="77777777" w:rsidR="00B41AE4" w:rsidRDefault="00B41AE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outlineLvl w:val="0"/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9A29BD" w14:textId="77777777" w:rsidR="00B41AE4" w:rsidRDefault="00B41AE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outlineLvl w:val="0"/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3FE178" w14:textId="77777777" w:rsidR="00B41AE4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COMUNICATO STAMPA</w:t>
      </w:r>
    </w:p>
    <w:p w14:paraId="7FB9B70F" w14:textId="77777777" w:rsidR="00B41AE4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----------------------------</w:t>
      </w:r>
    </w:p>
    <w:p w14:paraId="12B0C2E6" w14:textId="77777777" w:rsidR="00B41AE4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Roma, giovedì 27 luglio 2023</w:t>
      </w:r>
    </w:p>
    <w:p w14:paraId="22319C31" w14:textId="77777777" w:rsidR="00B41AE4" w:rsidRDefault="00B41AE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Verdana" w:eastAsia="Verdana" w:hAnsi="Verdana" w:cs="Verdana"/>
          <w:b/>
          <w:bCs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41C4D6" w14:textId="77777777" w:rsidR="00B41AE4" w:rsidRDefault="00B41AE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29390E" w14:textId="77777777" w:rsidR="00B41AE4" w:rsidRDefault="00000000">
      <w:pPr>
        <w:pStyle w:val="Corp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"I MIGLIORI MILLEFIORI ITALIANI"</w:t>
      </w:r>
    </w:p>
    <w:p w14:paraId="2A7EBCD5" w14:textId="77777777" w:rsidR="00B41AE4" w:rsidRDefault="00000000">
      <w:pPr>
        <w:pStyle w:val="Corp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CONCORSO DI QUALITA' PER IL MIELE 100% TRICOLORE</w:t>
      </w:r>
    </w:p>
    <w:p w14:paraId="5B1EFCB0" w14:textId="77777777" w:rsidR="00B41AE4" w:rsidRDefault="00000000">
      <w:pPr>
        <w:pStyle w:val="Corp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PROMOSSO DA FAI-FEDERAZIONE APICOLTORI ITALIANI </w:t>
      </w:r>
    </w:p>
    <w:p w14:paraId="4ED0C673" w14:textId="77777777" w:rsidR="00B41AE4" w:rsidRDefault="00000000">
      <w:pPr>
        <w:pStyle w:val="Corp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 MIELE IN COOPERATIVA</w:t>
      </w:r>
    </w:p>
    <w:p w14:paraId="3A5A13CD" w14:textId="77777777" w:rsidR="00B41AE4" w:rsidRDefault="00B41AE4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</w:p>
    <w:p w14:paraId="2CB67A23" w14:textId="77777777" w:rsidR="00B41AE4" w:rsidRDefault="00000000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miele prodotto con api italiane è un'eccellenza che merita di essere riconosciuta, premiata e valorizzata. Nasce con questo intento il Concorso "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I migliori millefiori italiani da api italiane”, </w:t>
      </w:r>
      <w:r>
        <w:rPr>
          <w:rFonts w:ascii="Verdana" w:hAnsi="Verdana"/>
          <w:sz w:val="24"/>
          <w:szCs w:val="24"/>
        </w:rPr>
        <w:t xml:space="preserve">un'iniziativa frutto della collaborazione tra FAI-Federazione Apicoltori Italiani e Miele in Cooperativa nell'ambito del Progetto "Generazione </w:t>
      </w:r>
      <w:proofErr w:type="spellStart"/>
      <w:r>
        <w:rPr>
          <w:rFonts w:ascii="Verdana" w:hAnsi="Verdana"/>
          <w:sz w:val="24"/>
          <w:szCs w:val="24"/>
        </w:rPr>
        <w:t>Honey</w:t>
      </w:r>
      <w:proofErr w:type="spellEnd"/>
      <w:r>
        <w:rPr>
          <w:rFonts w:ascii="Verdana" w:hAnsi="Verdana"/>
          <w:sz w:val="24"/>
          <w:szCs w:val="24"/>
        </w:rPr>
        <w:t>" finanziato dal Ministero dell'Agricoltura, della Sovranità Alimentare e delle Foreste, con l'obiettivo di valorizzare il ruolo degli apicoltori legati al territorio e l'eccezionalità dell'ape autoctona italiana.</w:t>
      </w:r>
    </w:p>
    <w:p w14:paraId="6F78624F" w14:textId="77777777" w:rsidR="00B41AE4" w:rsidRDefault="00B41AE4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</w:p>
    <w:p w14:paraId="7860697B" w14:textId="77777777" w:rsidR="00B41AE4" w:rsidRDefault="00000000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 concorso (il regolamento completo è disponibile sul sito </w:t>
      </w:r>
      <w:hyperlink r:id="rId7" w:history="1">
        <w:r>
          <w:rPr>
            <w:rStyle w:val="Hyperlink0"/>
            <w:rFonts w:ascii="Verdana" w:hAnsi="Verdana"/>
            <w:sz w:val="24"/>
            <w:szCs w:val="24"/>
          </w:rPr>
          <w:t>www.generazionehoney.it</w:t>
        </w:r>
      </w:hyperlink>
      <w:r>
        <w:rPr>
          <w:rFonts w:ascii="Verdana" w:hAnsi="Verdana"/>
          <w:sz w:val="24"/>
          <w:szCs w:val="24"/>
        </w:rPr>
        <w:t>) possono partecipare gli apicoltori italiani che allevano solo ed esclusivamente api autoctone italiane. Le analisi fisico-chimiche dei campioni di miele saranno effettuate dai laboratori del CREA-AA con sede a Bologna; una giuria composta da Assaggiatori dell'Albo Nazionale degli Esperti in Analisi Sensoriale del Miele valuterà i parametri organolettici. I campioni di miele andranno inviati entro il giorno 8 settembre 2023.</w:t>
      </w:r>
    </w:p>
    <w:p w14:paraId="25BB8C65" w14:textId="77777777" w:rsidR="00B41AE4" w:rsidRDefault="00B41AE4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</w:p>
    <w:p w14:paraId="2705CA25" w14:textId="77777777" w:rsidR="00B41AE4" w:rsidRDefault="00000000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premiazione dei vincitori avrà luogo sabato 28 ottobre a Piacenza Expo in occasione di "</w:t>
      </w:r>
      <w:proofErr w:type="spellStart"/>
      <w:r>
        <w:rPr>
          <w:rFonts w:ascii="Verdana" w:hAnsi="Verdana"/>
          <w:sz w:val="24"/>
          <w:szCs w:val="24"/>
        </w:rPr>
        <w:t>Apimell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October</w:t>
      </w:r>
      <w:proofErr w:type="spellEnd"/>
      <w:r>
        <w:rPr>
          <w:rFonts w:ascii="Verdana" w:hAnsi="Verdana"/>
          <w:sz w:val="24"/>
          <w:szCs w:val="24"/>
        </w:rPr>
        <w:t xml:space="preserve"> Edition", l'edizione autunnale della fiera internazionale del comparto apistico. Tutti coloro che lo desiderano potranno accreditarsi per partecipare alle degustazioni guidate dei primi dieci mieli millefiori italiani prodotti con api italiane.</w:t>
      </w:r>
    </w:p>
    <w:p w14:paraId="2428C3E9" w14:textId="77777777" w:rsidR="00B41AE4" w:rsidRDefault="00B41AE4">
      <w:pPr>
        <w:pStyle w:val="Corpo"/>
        <w:spacing w:line="288" w:lineRule="auto"/>
        <w:jc w:val="both"/>
        <w:rPr>
          <w:rFonts w:hint="eastAsia"/>
        </w:rPr>
      </w:pPr>
    </w:p>
    <w:sectPr w:rsidR="00B41AE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647E" w14:textId="77777777" w:rsidR="00996192" w:rsidRDefault="00996192">
      <w:r>
        <w:separator/>
      </w:r>
    </w:p>
  </w:endnote>
  <w:endnote w:type="continuationSeparator" w:id="0">
    <w:p w14:paraId="551BDF8D" w14:textId="77777777" w:rsidR="00996192" w:rsidRDefault="0099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196D" w14:textId="77777777" w:rsidR="00B41AE4" w:rsidRDefault="00B4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50EC" w14:textId="77777777" w:rsidR="00996192" w:rsidRDefault="00996192">
      <w:r>
        <w:separator/>
      </w:r>
    </w:p>
  </w:footnote>
  <w:footnote w:type="continuationSeparator" w:id="0">
    <w:p w14:paraId="61753439" w14:textId="77777777" w:rsidR="00996192" w:rsidRDefault="0099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6DCB" w14:textId="77777777" w:rsidR="00B41AE4" w:rsidRDefault="00B41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E4"/>
    <w:rsid w:val="00647DC0"/>
    <w:rsid w:val="0080563A"/>
    <w:rsid w:val="00996192"/>
    <w:rsid w:val="00B41AE4"/>
    <w:rsid w:val="00E4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CA0"/>
  <w15:docId w15:val="{46CBC7D2-6EAF-496B-89E4-8EF33E7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nerazionehoney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Cavestro</dc:creator>
  <cp:lastModifiedBy>renzo.cavestro@unioneagricoltoripd.it</cp:lastModifiedBy>
  <cp:revision>2</cp:revision>
  <dcterms:created xsi:type="dcterms:W3CDTF">2023-07-27T10:46:00Z</dcterms:created>
  <dcterms:modified xsi:type="dcterms:W3CDTF">2023-07-27T10:46:00Z</dcterms:modified>
</cp:coreProperties>
</file>