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B048" w14:textId="77777777" w:rsidR="00C94957" w:rsidRPr="00DE5B09" w:rsidRDefault="00C94957" w:rsidP="00DE5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E5B09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59264" behindDoc="0" locked="0" layoutInCell="1" allowOverlap="1" wp14:anchorId="579A771B" wp14:editId="5BD83DF1">
            <wp:simplePos x="0" y="0"/>
            <wp:positionH relativeFrom="column">
              <wp:posOffset>-4098</wp:posOffset>
            </wp:positionH>
            <wp:positionV relativeFrom="paragraph">
              <wp:posOffset>599</wp:posOffset>
            </wp:positionV>
            <wp:extent cx="1389600" cy="342000"/>
            <wp:effectExtent l="0" t="0" r="1270" b="1270"/>
            <wp:wrapSquare wrapText="bothSides"/>
            <wp:docPr id="1" name="Immagine 1" descr="Immagine che contiene logo, Carattere, simbol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, Carattere, simbolo, tipo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34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925F3F" w14:textId="77777777" w:rsidR="00C94957" w:rsidRPr="00DE5B09" w:rsidRDefault="00C94957" w:rsidP="00DE5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A507BA" w14:textId="2ED9A2B1" w:rsidR="00785995" w:rsidRPr="00DE5B09" w:rsidRDefault="00C94957" w:rsidP="00DE5B0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E5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Direzione Politiche Sviluppo Sostenibile e Innovazione</w:t>
      </w:r>
      <w:r w:rsidR="00785995" w:rsidRPr="00DE5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6E433D49" w14:textId="0B195153" w:rsidR="00785995" w:rsidRPr="00DE5B09" w:rsidRDefault="00785995" w:rsidP="00DE5B0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E5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Sostenibilità ed economia circolare DG</w:t>
      </w:r>
    </w:p>
    <w:p w14:paraId="26F9C8D6" w14:textId="5517406B" w:rsidR="00C94957" w:rsidRPr="00DE5B09" w:rsidRDefault="00C94957" w:rsidP="00DE5B0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E5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Roma, </w:t>
      </w:r>
      <w:r w:rsidR="005F459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 aprile 2024</w:t>
      </w:r>
    </w:p>
    <w:p w14:paraId="6F50F557" w14:textId="77777777" w:rsidR="00D34FED" w:rsidRPr="00DE5B09" w:rsidRDefault="00D34FED" w:rsidP="00DE5B0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8460B31" w14:textId="77777777" w:rsidR="005F459D" w:rsidRDefault="005F459D" w:rsidP="00DE5B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it-IT"/>
          <w14:ligatures w14:val="none"/>
        </w:rPr>
      </w:pPr>
    </w:p>
    <w:p w14:paraId="312FDF1C" w14:textId="780F2687" w:rsidR="00785995" w:rsidRPr="00DE5B09" w:rsidRDefault="00CD0B06" w:rsidP="00DE5B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it-IT"/>
          <w14:ligatures w14:val="none"/>
        </w:rPr>
      </w:pPr>
      <w:r w:rsidRPr="00DE5B0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it-IT"/>
          <w14:ligatures w14:val="none"/>
        </w:rPr>
        <w:t>RAEE FOTOVOLTAICI CONTO ENERGIA</w:t>
      </w:r>
    </w:p>
    <w:p w14:paraId="75452EC9" w14:textId="77777777" w:rsidR="00785995" w:rsidRPr="00DE5B09" w:rsidRDefault="00785995" w:rsidP="00DE5B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it-IT"/>
          <w14:ligatures w14:val="none"/>
        </w:rPr>
      </w:pPr>
    </w:p>
    <w:p w14:paraId="5D4FCE63" w14:textId="1FF5BBBC" w:rsidR="00CD0B06" w:rsidRPr="00DE5B09" w:rsidRDefault="00920CAB" w:rsidP="00DE5B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it-IT"/>
          <w14:ligatures w14:val="none"/>
        </w:rPr>
      </w:pPr>
      <w:r w:rsidRPr="00DE5B09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it-IT"/>
          <w14:ligatures w14:val="none"/>
        </w:rPr>
        <w:t xml:space="preserve">INDICAZIONI OPERATIVE E VALUTAZIONI </w:t>
      </w:r>
      <w:r w:rsidR="00785995" w:rsidRPr="00DE5B09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it-IT"/>
          <w14:ligatures w14:val="none"/>
        </w:rPr>
        <w:t>SULLE DIVERSE MODALITA’ DI SMALTIMENTO</w:t>
      </w:r>
      <w:r w:rsidRPr="00DE5B09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it-IT"/>
          <w14:ligatures w14:val="none"/>
        </w:rPr>
        <w:t xml:space="preserve"> </w:t>
      </w:r>
      <w:r w:rsidR="00785995" w:rsidRPr="00DE5B09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it-IT"/>
          <w14:ligatures w14:val="none"/>
        </w:rPr>
        <w:t>(</w:t>
      </w:r>
      <w:r w:rsidRPr="00DE5B09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it-IT"/>
          <w14:ligatures w14:val="none"/>
        </w:rPr>
        <w:t>ADESIONE A SISTEMA COLLETTIVO</w:t>
      </w:r>
      <w:r w:rsidR="00785995" w:rsidRPr="00DE5B09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it-IT"/>
          <w14:ligatures w14:val="none"/>
        </w:rPr>
        <w:t xml:space="preserve"> O GSE)</w:t>
      </w:r>
    </w:p>
    <w:p w14:paraId="1E822A8C" w14:textId="77777777" w:rsidR="00D34FED" w:rsidRPr="00DE5B09" w:rsidRDefault="00D34FED" w:rsidP="00DE5B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it-IT"/>
          <w14:ligatures w14:val="none"/>
        </w:rPr>
      </w:pPr>
    </w:p>
    <w:p w14:paraId="375EAAE6" w14:textId="77777777" w:rsidR="00920CAB" w:rsidRPr="00DE5B09" w:rsidRDefault="00920CAB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hAnsi="Times New Roman" w:cs="Times New Roman"/>
          <w:sz w:val="24"/>
          <w:szCs w:val="24"/>
        </w:rPr>
        <w:t>In relazione alla facoltà di poter aderire a un Sistema Collettivo per il corretto smaltimento dei moduli fotovoltaici a fine vita incentivati, prevista dal Decreto Legislativo 3 settembre 2020, n.118, si è ritenuto opportuno approfondire gli aspetti operativi e le differenze rispetto alla scelta di lasciare le quote a garanzia presso il GSE.</w:t>
      </w:r>
    </w:p>
    <w:p w14:paraId="6E1BF3A2" w14:textId="77777777" w:rsidR="0082511E" w:rsidRDefault="0082511E" w:rsidP="00DE5B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142438" w14:textId="230ABDB1" w:rsidR="00785995" w:rsidRDefault="00785995" w:rsidP="00DE5B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5B09">
        <w:rPr>
          <w:rFonts w:ascii="Times New Roman" w:hAnsi="Times New Roman" w:cs="Times New Roman"/>
          <w:b/>
          <w:bCs/>
          <w:sz w:val="24"/>
          <w:szCs w:val="24"/>
          <w:u w:val="single"/>
        </w:rPr>
        <w:t>Premessa</w:t>
      </w:r>
    </w:p>
    <w:p w14:paraId="61829798" w14:textId="77777777" w:rsidR="0082511E" w:rsidRPr="00DE5B09" w:rsidRDefault="0082511E" w:rsidP="00DE5B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80BF6D" w14:textId="464C6D91" w:rsidR="00920CAB" w:rsidRDefault="00920CAB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hAnsi="Times New Roman" w:cs="Times New Roman"/>
          <w:sz w:val="24"/>
          <w:szCs w:val="24"/>
        </w:rPr>
        <w:t>Il Dl energia ha previsto che i Soggetti Responsabili degli impianti fotovoltaici incentivati in Conto Energia possano decidere se prestare la garanzia finanziaria, per le operazioni di raccolta, trasporto, trattamento adeguato, recupero e smaltimento, tramite il processo di trattenimento delle quote attuato dal GSE, o, in alternativa, mediante la partecipazione a un Sistema Collettivo.</w:t>
      </w:r>
    </w:p>
    <w:p w14:paraId="635A3813" w14:textId="77777777" w:rsidR="0082511E" w:rsidRPr="00DE5B09" w:rsidRDefault="0082511E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080F5" w14:textId="7D11F4E7" w:rsidR="00920CAB" w:rsidRDefault="00920CAB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5B09">
        <w:rPr>
          <w:rFonts w:ascii="Times New Roman" w:hAnsi="Times New Roman" w:cs="Times New Roman"/>
          <w:sz w:val="24"/>
          <w:szCs w:val="24"/>
          <w:u w:val="single"/>
        </w:rPr>
        <w:t>L’opzione è una facoltà e non un obbligo</w:t>
      </w:r>
      <w:r w:rsidRPr="00DE5B09">
        <w:rPr>
          <w:rFonts w:ascii="Times New Roman" w:hAnsi="Times New Roman" w:cs="Times New Roman"/>
          <w:sz w:val="24"/>
          <w:szCs w:val="24"/>
        </w:rPr>
        <w:t xml:space="preserve"> e </w:t>
      </w:r>
      <w:r w:rsidRPr="00DE5B09">
        <w:rPr>
          <w:rFonts w:ascii="Times New Roman" w:hAnsi="Times New Roman" w:cs="Times New Roman"/>
          <w:sz w:val="24"/>
          <w:szCs w:val="24"/>
          <w:u w:val="single"/>
        </w:rPr>
        <w:t xml:space="preserve">deve essere esercitata dal soggetto responsabile e non dal produttore dei pannelli. </w:t>
      </w:r>
    </w:p>
    <w:p w14:paraId="2E0E97CD" w14:textId="77777777" w:rsidR="0082511E" w:rsidRPr="00DE5B09" w:rsidRDefault="0082511E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67795C" w14:textId="7DC02EF4" w:rsidR="00920CAB" w:rsidRDefault="00920CAB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hAnsi="Times New Roman" w:cs="Times New Roman"/>
          <w:sz w:val="24"/>
          <w:szCs w:val="24"/>
        </w:rPr>
        <w:t xml:space="preserve">Fino a poco tempo la garanzia versata nei fondi fiduciari “Trust” dei Consorzi e quella trattenuta dal GSE avevano lo stesso valore, ossia 10 euro a modulo da smaltire. Con la conversione in legge del DL Energia le cose sono cambiate. L’importo della quota da trattenere da parte del GSE </w:t>
      </w:r>
      <w:r w:rsidR="00785995" w:rsidRPr="00DE5B09">
        <w:rPr>
          <w:rFonts w:ascii="Times New Roman" w:hAnsi="Times New Roman" w:cs="Times New Roman"/>
          <w:sz w:val="24"/>
          <w:szCs w:val="24"/>
        </w:rPr>
        <w:t xml:space="preserve">è </w:t>
      </w:r>
      <w:r w:rsidRPr="00DE5B09">
        <w:rPr>
          <w:rFonts w:ascii="Times New Roman" w:hAnsi="Times New Roman" w:cs="Times New Roman"/>
          <w:sz w:val="24"/>
          <w:szCs w:val="24"/>
        </w:rPr>
        <w:t>pari a 20 euro/modulo, ovvero il doppio rispetto al valore della garanzia da versare al Sistema Collettivo (10 euro/modulo) in caso di adesione allo stesso</w:t>
      </w:r>
      <w:r w:rsidR="00785995" w:rsidRPr="00DE5B09">
        <w:rPr>
          <w:rFonts w:ascii="Times New Roman" w:hAnsi="Times New Roman" w:cs="Times New Roman"/>
          <w:sz w:val="24"/>
          <w:szCs w:val="24"/>
        </w:rPr>
        <w:t xml:space="preserve">, </w:t>
      </w:r>
      <w:r w:rsidRPr="00DE5B09">
        <w:rPr>
          <w:rFonts w:ascii="Times New Roman" w:hAnsi="Times New Roman" w:cs="Times New Roman"/>
          <w:sz w:val="24"/>
          <w:szCs w:val="24"/>
        </w:rPr>
        <w:t>ai sensi del D.lgs. 118/2020.</w:t>
      </w:r>
      <w:r w:rsidRPr="00DE5B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6043F" w14:textId="77777777" w:rsidR="0082511E" w:rsidRPr="00DE5B09" w:rsidRDefault="0082511E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91859" w14:textId="46DEA46C" w:rsidR="00785995" w:rsidRDefault="00785995" w:rsidP="00DE5B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5B09">
        <w:rPr>
          <w:rFonts w:ascii="Times New Roman" w:hAnsi="Times New Roman" w:cs="Times New Roman"/>
          <w:b/>
          <w:bCs/>
          <w:sz w:val="24"/>
          <w:szCs w:val="24"/>
          <w:u w:val="single"/>
        </w:rPr>
        <w:t>GSE vs Sistemi collettivi</w:t>
      </w:r>
    </w:p>
    <w:p w14:paraId="71FC5F23" w14:textId="77777777" w:rsidR="0082511E" w:rsidRPr="00DE5B09" w:rsidRDefault="0082511E" w:rsidP="00DE5B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920CC9" w14:textId="6C2996BF" w:rsidR="00920CAB" w:rsidRDefault="00920CAB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hAnsi="Times New Roman" w:cs="Times New Roman"/>
          <w:sz w:val="24"/>
          <w:szCs w:val="24"/>
        </w:rPr>
        <w:t>Il Soggetto Responsabile può scegliere di farsi direttamente trattenere dal GSE la quota di garanzia finanziaria oppure può evitare la trattenuta aderendo ad un Sistema Collettivo riconosciuto e autorizzato dal MASE, versando la garanzia finanziaria direttamente nel fondo fiduciario (</w:t>
      </w:r>
      <w:hyperlink r:id="rId9" w:tgtFrame="_blank" w:history="1">
        <w:r w:rsidRPr="00DE5B09">
          <w:rPr>
            <w:rFonts w:ascii="Times New Roman" w:hAnsi="Times New Roman" w:cs="Times New Roman"/>
            <w:sz w:val="24"/>
            <w:szCs w:val="24"/>
          </w:rPr>
          <w:t>Trust</w:t>
        </w:r>
      </w:hyperlink>
      <w:r w:rsidRPr="00DE5B09">
        <w:rPr>
          <w:rFonts w:ascii="Times New Roman" w:hAnsi="Times New Roman" w:cs="Times New Roman"/>
          <w:sz w:val="24"/>
          <w:szCs w:val="24"/>
        </w:rPr>
        <w:t>) dello stesso.</w:t>
      </w:r>
      <w:r w:rsidR="00C421F7" w:rsidRPr="00DE5B09">
        <w:rPr>
          <w:rFonts w:ascii="Times New Roman" w:hAnsi="Times New Roman" w:cs="Times New Roman"/>
          <w:sz w:val="24"/>
          <w:szCs w:val="24"/>
        </w:rPr>
        <w:t xml:space="preserve"> D</w:t>
      </w:r>
      <w:r w:rsidR="00785995" w:rsidRPr="00DE5B09">
        <w:rPr>
          <w:rFonts w:ascii="Times New Roman" w:hAnsi="Times New Roman" w:cs="Times New Roman"/>
          <w:sz w:val="24"/>
          <w:szCs w:val="24"/>
        </w:rPr>
        <w:t xml:space="preserve">ei </w:t>
      </w:r>
      <w:r w:rsidR="00C421F7" w:rsidRPr="00DE5B09">
        <w:rPr>
          <w:rFonts w:ascii="Times New Roman" w:hAnsi="Times New Roman" w:cs="Times New Roman"/>
          <w:sz w:val="24"/>
          <w:szCs w:val="24"/>
        </w:rPr>
        <w:t>10 euro</w:t>
      </w:r>
      <w:r w:rsidR="00785995" w:rsidRPr="00DE5B09">
        <w:rPr>
          <w:rFonts w:ascii="Times New Roman" w:hAnsi="Times New Roman" w:cs="Times New Roman"/>
          <w:sz w:val="24"/>
          <w:szCs w:val="24"/>
        </w:rPr>
        <w:t>/modulo versati</w:t>
      </w:r>
      <w:r w:rsidR="00C421F7" w:rsidRPr="00DE5B09">
        <w:rPr>
          <w:rFonts w:ascii="Times New Roman" w:hAnsi="Times New Roman" w:cs="Times New Roman"/>
          <w:sz w:val="24"/>
          <w:szCs w:val="24"/>
        </w:rPr>
        <w:t>, il 20 % è trattenuto dal Consorzio mentre l’80% finisce nel Fondo Trust.</w:t>
      </w:r>
    </w:p>
    <w:p w14:paraId="55A7C4A3" w14:textId="77777777" w:rsidR="0082511E" w:rsidRPr="00DE5B09" w:rsidRDefault="0082511E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5A223" w14:textId="3B42AF0C" w:rsidR="00920CAB" w:rsidRDefault="00D50C67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5B09">
        <w:rPr>
          <w:rFonts w:ascii="Times New Roman" w:hAnsi="Times New Roman" w:cs="Times New Roman"/>
          <w:sz w:val="24"/>
          <w:szCs w:val="24"/>
          <w:u w:val="single"/>
        </w:rPr>
        <w:t>Nel caso il soggetto responsabile si sia avvalso del</w:t>
      </w:r>
      <w:r w:rsidR="00920CAB" w:rsidRPr="00DE5B09">
        <w:rPr>
          <w:rFonts w:ascii="Times New Roman" w:hAnsi="Times New Roman" w:cs="Times New Roman"/>
          <w:sz w:val="24"/>
          <w:szCs w:val="24"/>
          <w:u w:val="single"/>
        </w:rPr>
        <w:t xml:space="preserve"> GSE </w:t>
      </w:r>
      <w:r w:rsidRPr="00DE5B09">
        <w:rPr>
          <w:rFonts w:ascii="Times New Roman" w:hAnsi="Times New Roman" w:cs="Times New Roman"/>
          <w:sz w:val="24"/>
          <w:szCs w:val="24"/>
          <w:u w:val="single"/>
        </w:rPr>
        <w:t>e decida poi di aderire ad un sistema collettivo</w:t>
      </w:r>
      <w:r w:rsidR="00920CAB" w:rsidRPr="00DE5B09">
        <w:rPr>
          <w:rFonts w:ascii="Times New Roman" w:hAnsi="Times New Roman" w:cs="Times New Roman"/>
          <w:sz w:val="24"/>
          <w:szCs w:val="24"/>
          <w:u w:val="single"/>
        </w:rPr>
        <w:t xml:space="preserve"> comunicherà</w:t>
      </w:r>
      <w:r w:rsidR="00DE5B09" w:rsidRPr="00DE5B0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20CAB" w:rsidRPr="00DE5B09">
        <w:rPr>
          <w:rFonts w:ascii="Times New Roman" w:hAnsi="Times New Roman" w:cs="Times New Roman"/>
          <w:sz w:val="24"/>
          <w:szCs w:val="24"/>
          <w:u w:val="single"/>
        </w:rPr>
        <w:t xml:space="preserve"> la sua scelta </w:t>
      </w:r>
      <w:r w:rsidR="00DE5B09" w:rsidRPr="00DE5B09">
        <w:rPr>
          <w:rFonts w:ascii="Times New Roman" w:hAnsi="Times New Roman" w:cs="Times New Roman"/>
          <w:sz w:val="24"/>
          <w:szCs w:val="24"/>
          <w:u w:val="single"/>
        </w:rPr>
        <w:t xml:space="preserve">al GSE </w:t>
      </w:r>
      <w:r w:rsidR="00920CAB" w:rsidRPr="00DE5B09">
        <w:rPr>
          <w:rFonts w:ascii="Times New Roman" w:hAnsi="Times New Roman" w:cs="Times New Roman"/>
          <w:sz w:val="24"/>
          <w:szCs w:val="24"/>
          <w:u w:val="single"/>
        </w:rPr>
        <w:t xml:space="preserve">e riceverà il rimborso o direttamente o trasferendo i soldi al </w:t>
      </w:r>
      <w:r w:rsidR="00785995" w:rsidRPr="00DE5B09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920CAB" w:rsidRPr="00DE5B09">
        <w:rPr>
          <w:rFonts w:ascii="Times New Roman" w:hAnsi="Times New Roman" w:cs="Times New Roman"/>
          <w:sz w:val="24"/>
          <w:szCs w:val="24"/>
          <w:u w:val="single"/>
        </w:rPr>
        <w:t>rust del consorzio scelto.</w:t>
      </w:r>
    </w:p>
    <w:p w14:paraId="5B92F719" w14:textId="77777777" w:rsidR="0082511E" w:rsidRPr="00DE5B09" w:rsidRDefault="0082511E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D75D7A" w14:textId="77777777" w:rsidR="00DE5B09" w:rsidRPr="00DE5B09" w:rsidRDefault="00785995" w:rsidP="00DE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B09">
        <w:rPr>
          <w:rFonts w:ascii="Times New Roman" w:eastAsia="Times New Roman" w:hAnsi="Times New Roman" w:cs="Times New Roman"/>
          <w:sz w:val="24"/>
          <w:szCs w:val="24"/>
        </w:rPr>
        <w:t>Aspetto importante da sottolineare per comprendere le differenze tra GSE e Sistemi collettivi è che l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 xml:space="preserve">a trattenuta GSE ha titolo </w:t>
      </w:r>
      <w:r w:rsidRPr="00DE5B09">
        <w:rPr>
          <w:rFonts w:ascii="Times New Roman" w:eastAsia="Times New Roman" w:hAnsi="Times New Roman" w:cs="Times New Roman"/>
          <w:sz w:val="24"/>
          <w:szCs w:val="24"/>
        </w:rPr>
        <w:t xml:space="preserve">puramente 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>cauzionale, non comprende alcun servizio tanto che spetta poi al Soggetto Responsabile fornire la documentazione completa circa l’avvenuto corretto smaltimento di tutti i pannelli FV dell’impianto. Le spese di smaltimento dei pannelli sono</w:t>
      </w:r>
      <w:r w:rsidRPr="00DE5B09">
        <w:rPr>
          <w:rFonts w:ascii="Times New Roman" w:eastAsia="Times New Roman" w:hAnsi="Times New Roman" w:cs="Times New Roman"/>
          <w:sz w:val="24"/>
          <w:szCs w:val="24"/>
        </w:rPr>
        <w:t>, pertanto,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 xml:space="preserve"> a carico del Soggetto Responsabile dell’impianto.</w:t>
      </w:r>
      <w:r w:rsidRPr="00DE5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FEFA4B" w14:textId="77777777" w:rsidR="00DE5B09" w:rsidRPr="00DE5B09" w:rsidRDefault="00DE5B09" w:rsidP="00DE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8E1E3" w14:textId="77777777" w:rsidR="00DE5B09" w:rsidRPr="00DE5B09" w:rsidRDefault="00920CAB" w:rsidP="00DE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B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 quota da versare nel Trust del sistema collettivo </w:t>
      </w:r>
      <w:r w:rsidRPr="00DE5B09">
        <w:rPr>
          <w:rFonts w:ascii="Times New Roman" w:hAnsi="Times New Roman" w:cs="Times New Roman"/>
          <w:sz w:val="24"/>
          <w:szCs w:val="24"/>
        </w:rPr>
        <w:t>viene</w:t>
      </w:r>
      <w:r w:rsidR="00785995" w:rsidRPr="00DE5B09">
        <w:rPr>
          <w:rFonts w:ascii="Times New Roman" w:hAnsi="Times New Roman" w:cs="Times New Roman"/>
          <w:sz w:val="24"/>
          <w:szCs w:val="24"/>
        </w:rPr>
        <w:t xml:space="preserve">, invece, </w:t>
      </w:r>
      <w:r w:rsidRPr="00DE5B09">
        <w:rPr>
          <w:rFonts w:ascii="Times New Roman" w:hAnsi="Times New Roman" w:cs="Times New Roman"/>
          <w:sz w:val="24"/>
          <w:szCs w:val="24"/>
        </w:rPr>
        <w:t>fatturata e corrisponde all’acquisto di un servizio e per le aziende è fiscalmente deducibile (in fase di redazione del bilancio).</w:t>
      </w:r>
      <w:r w:rsidRPr="00DE5B09">
        <w:rPr>
          <w:rFonts w:ascii="Times New Roman" w:eastAsia="Times New Roman" w:hAnsi="Times New Roman" w:cs="Times New Roman"/>
          <w:sz w:val="24"/>
          <w:szCs w:val="24"/>
        </w:rPr>
        <w:t xml:space="preserve"> Per gli impianti composti da almeno 100 pannelli FV è generalmente possibile rateizzare il versamento in 5 anni (2 euro/pannello FV all’anno). 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>Come detto, l</w:t>
      </w:r>
      <w:r w:rsidRPr="00DE5B09">
        <w:rPr>
          <w:rFonts w:ascii="Times New Roman" w:eastAsia="Times New Roman" w:hAnsi="Times New Roman" w:cs="Times New Roman"/>
          <w:sz w:val="24"/>
          <w:szCs w:val="24"/>
        </w:rPr>
        <w:t xml:space="preserve">a quota versata viene vincolata in un Trust appositamente costituito, monitorato da un garante terzo e non pignorabile né accessibile fino all’avvenuto smaltimento dei pannelli. La quota copre per legge i costi del servizio di ritiro in loco, trasporto, trattamento e recupero dei pannelli FV, inclusa la gestione amministrativa dell’operazione. </w:t>
      </w:r>
    </w:p>
    <w:p w14:paraId="7C8EF66B" w14:textId="77777777" w:rsidR="00DE5B09" w:rsidRPr="00DE5B09" w:rsidRDefault="00DE5B09" w:rsidP="00DE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FD155" w14:textId="7B5EBD3E" w:rsidR="00920CAB" w:rsidRPr="00DE5B09" w:rsidRDefault="00920CAB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eastAsia="Times New Roman" w:hAnsi="Times New Roman" w:cs="Times New Roman"/>
          <w:sz w:val="24"/>
          <w:szCs w:val="24"/>
        </w:rPr>
        <w:t xml:space="preserve">Inoltre, il </w:t>
      </w:r>
      <w:r w:rsidRPr="00DE5B09">
        <w:rPr>
          <w:rFonts w:ascii="Times New Roman" w:hAnsi="Times New Roman" w:cs="Times New Roman"/>
          <w:sz w:val="24"/>
          <w:szCs w:val="24"/>
        </w:rPr>
        <w:t>Soggetto Responsabile potrà richiedere il servizio al Sistema Collettivo quando ne ha bisogno, senza limiti di tempo o di numero di ritiri (</w:t>
      </w:r>
      <w:r w:rsidRPr="00DE5B09">
        <w:rPr>
          <w:rFonts w:ascii="Times New Roman" w:hAnsi="Times New Roman" w:cs="Times New Roman"/>
          <w:i/>
          <w:iCs/>
          <w:sz w:val="24"/>
          <w:szCs w:val="24"/>
        </w:rPr>
        <w:t>quindi il Consorzio generalmente interviene anche per ritiri parziali</w:t>
      </w:r>
      <w:r w:rsidRPr="00DE5B09">
        <w:rPr>
          <w:rFonts w:ascii="Times New Roman" w:hAnsi="Times New Roman" w:cs="Times New Roman"/>
          <w:sz w:val="24"/>
          <w:szCs w:val="24"/>
        </w:rPr>
        <w:t>).</w:t>
      </w:r>
    </w:p>
    <w:p w14:paraId="6FB8C379" w14:textId="77777777" w:rsidR="00785995" w:rsidRPr="00DE5B09" w:rsidRDefault="00785995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937FB" w14:textId="1E2FF604" w:rsidR="00785995" w:rsidRPr="00DE5B09" w:rsidRDefault="00785995" w:rsidP="00DE5B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5B09">
        <w:rPr>
          <w:rFonts w:ascii="Times New Roman" w:hAnsi="Times New Roman" w:cs="Times New Roman"/>
          <w:b/>
          <w:bCs/>
          <w:sz w:val="24"/>
          <w:szCs w:val="24"/>
          <w:u w:val="single"/>
        </w:rPr>
        <w:t>Come si aderisce a un Consorzio?</w:t>
      </w:r>
    </w:p>
    <w:p w14:paraId="27B1FFED" w14:textId="77777777" w:rsidR="00DE5B09" w:rsidRPr="00DE5B09" w:rsidRDefault="00DE5B09" w:rsidP="00DE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7867F" w14:textId="139073AA" w:rsidR="00920CAB" w:rsidRPr="00DE5B09" w:rsidRDefault="00141485" w:rsidP="00DE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B09">
        <w:rPr>
          <w:rFonts w:ascii="Times New Roman" w:eastAsia="Times New Roman" w:hAnsi="Times New Roman" w:cs="Times New Roman"/>
          <w:sz w:val="24"/>
          <w:szCs w:val="24"/>
        </w:rPr>
        <w:t xml:space="preserve">Il Soggetto Responsabile può aderire al Sistema Collettivo RAEE creando il proprio account sul portale 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 xml:space="preserve">prescelto, </w:t>
      </w:r>
      <w:r w:rsidRPr="00DE5B09">
        <w:rPr>
          <w:rFonts w:ascii="Times New Roman" w:eastAsia="Times New Roman" w:hAnsi="Times New Roman" w:cs="Times New Roman"/>
          <w:sz w:val="24"/>
          <w:szCs w:val="24"/>
        </w:rPr>
        <w:t>seguendo una procedura molto semplice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 xml:space="preserve"> che ricalca quella di un semplice account e-mail</w:t>
      </w:r>
      <w:r w:rsidRPr="00DE5B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5B09">
        <w:rPr>
          <w:rFonts w:ascii="Times New Roman" w:hAnsi="Times New Roman" w:cs="Times New Roman"/>
          <w:sz w:val="24"/>
          <w:szCs w:val="24"/>
        </w:rPr>
        <w:t>Durante l’adesione è possibile scaricare copia del Contratto prima di accettarlo. La registrazione e garanzia dell’impianto invece può essere effettuata dopo il completamento di questa procedura di adesione.</w:t>
      </w:r>
      <w:r w:rsidRPr="00DE5B09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 xml:space="preserve">Terminata la registrazione e garanzia dell’impianto, il Consorzio produce la documentazione necessaria per compilare la pratica 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 xml:space="preserve"> comunica al GSE l’adesione al Sistema Collettivo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>. In questo modo si determina l’impossibilità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 xml:space="preserve">da parte del GSE di 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>tratten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>ere le quote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 xml:space="preserve"> o che quanto già trattenuto venga restituito.</w:t>
      </w:r>
      <w:r w:rsidRPr="00DE5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 xml:space="preserve">Per ogni impianto registrato viene rilasciato il Certificato di Garanzia – che conferma la presa in carico del futuro smaltimento dei pannelli FV. Inoltre, il Trustee 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 xml:space="preserve">(il Garante del Fondo Trust) 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 xml:space="preserve">rilascia un 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>Attestato di Versamento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 xml:space="preserve"> nel quale conferma la ricevuta della 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>q</w:t>
      </w:r>
      <w:r w:rsidR="00920CAB" w:rsidRPr="00DE5B09">
        <w:rPr>
          <w:rFonts w:ascii="Times New Roman" w:eastAsia="Times New Roman" w:hAnsi="Times New Roman" w:cs="Times New Roman"/>
          <w:sz w:val="24"/>
          <w:szCs w:val="24"/>
        </w:rPr>
        <w:t xml:space="preserve">uota e quanto è stato vincolato per ciascun pannello. </w:t>
      </w:r>
    </w:p>
    <w:p w14:paraId="218F64E5" w14:textId="77777777" w:rsidR="00920CAB" w:rsidRPr="00DE5B09" w:rsidRDefault="00920CAB" w:rsidP="00DE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5EE58" w14:textId="77777777" w:rsidR="00DE5B09" w:rsidRPr="00DE5B09" w:rsidRDefault="00DE5B09" w:rsidP="00DE5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E5B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Criteri utili per la scelta del </w:t>
      </w:r>
      <w:r w:rsidR="00141485" w:rsidRPr="00DE5B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Consorzio</w:t>
      </w:r>
    </w:p>
    <w:p w14:paraId="043013AF" w14:textId="77777777" w:rsidR="00DE5B09" w:rsidRPr="00DE5B09" w:rsidRDefault="00DE5B09" w:rsidP="00DE5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BAA48A" w14:textId="605A4261" w:rsidR="00141485" w:rsidRDefault="007C4BFA" w:rsidP="00DE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5B09">
        <w:rPr>
          <w:rFonts w:ascii="Times New Roman" w:eastAsia="Times New Roman" w:hAnsi="Times New Roman" w:cs="Times New Roman"/>
          <w:sz w:val="24"/>
          <w:szCs w:val="24"/>
        </w:rPr>
        <w:t xml:space="preserve">Quando si aderisce a un Consorzio si </w:t>
      </w:r>
      <w:r w:rsidR="00C421F7" w:rsidRPr="00DE5B09">
        <w:rPr>
          <w:rFonts w:ascii="Times New Roman" w:eastAsia="Times New Roman" w:hAnsi="Times New Roman" w:cs="Times New Roman"/>
          <w:sz w:val="24"/>
          <w:szCs w:val="24"/>
        </w:rPr>
        <w:t xml:space="preserve">sottoscrive un contratto di servizio. </w:t>
      </w:r>
      <w:r w:rsidR="00141485" w:rsidRPr="00DE5B09">
        <w:rPr>
          <w:rFonts w:ascii="Times New Roman" w:eastAsia="Times New Roman" w:hAnsi="Times New Roman" w:cs="Times New Roman"/>
          <w:sz w:val="24"/>
          <w:szCs w:val="24"/>
        </w:rPr>
        <w:t xml:space="preserve">Le condizioni economiche </w:t>
      </w:r>
      <w:r w:rsidR="00C421F7" w:rsidRPr="00DE5B09">
        <w:rPr>
          <w:rFonts w:ascii="Times New Roman" w:eastAsia="Times New Roman" w:hAnsi="Times New Roman" w:cs="Times New Roman"/>
          <w:sz w:val="24"/>
          <w:szCs w:val="24"/>
        </w:rPr>
        <w:t xml:space="preserve">tra Consorzi </w:t>
      </w:r>
      <w:r w:rsidR="00141485" w:rsidRPr="00DE5B09">
        <w:rPr>
          <w:rFonts w:ascii="Times New Roman" w:eastAsia="Times New Roman" w:hAnsi="Times New Roman" w:cs="Times New Roman"/>
          <w:sz w:val="24"/>
          <w:szCs w:val="24"/>
        </w:rPr>
        <w:t xml:space="preserve">sono 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 xml:space="preserve">sostanzialmente </w:t>
      </w:r>
      <w:r w:rsidR="00141485" w:rsidRPr="00DE5B09">
        <w:rPr>
          <w:rFonts w:ascii="Times New Roman" w:eastAsia="Times New Roman" w:hAnsi="Times New Roman" w:cs="Times New Roman"/>
          <w:sz w:val="24"/>
          <w:szCs w:val="24"/>
        </w:rPr>
        <w:t xml:space="preserve">identiche e anche la copertura territoriale. </w:t>
      </w:r>
      <w:r w:rsidR="00141485" w:rsidRPr="00DE5B09">
        <w:rPr>
          <w:rFonts w:ascii="Times New Roman" w:eastAsia="Times New Roman" w:hAnsi="Times New Roman" w:cs="Times New Roman"/>
          <w:sz w:val="24"/>
          <w:szCs w:val="24"/>
          <w:u w:val="single"/>
        </w:rPr>
        <w:t>Ecco perché è importante, a parità di queste condizioni, scegliere sistemi collettivi affidabili e con comprovata storia alle spalle.</w:t>
      </w:r>
      <w:r w:rsidR="00141485" w:rsidRPr="00DE5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485" w:rsidRPr="00DE5B09">
        <w:rPr>
          <w:rFonts w:ascii="Times New Roman" w:eastAsia="Times New Roman" w:hAnsi="Times New Roman" w:cs="Times New Roman"/>
          <w:sz w:val="24"/>
          <w:szCs w:val="24"/>
          <w:u w:val="single"/>
        </w:rPr>
        <w:t>È importante vedere il volume di affari, i</w:t>
      </w:r>
      <w:r w:rsidR="00141485" w:rsidRPr="00DE5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B09">
        <w:rPr>
          <w:rFonts w:ascii="Times New Roman" w:eastAsia="Times New Roman" w:hAnsi="Times New Roman" w:cs="Times New Roman"/>
          <w:sz w:val="24"/>
          <w:szCs w:val="24"/>
        </w:rPr>
        <w:t>RAEE</w:t>
      </w:r>
      <w:r w:rsidR="00141485" w:rsidRPr="00DE5B09">
        <w:rPr>
          <w:rFonts w:ascii="Times New Roman" w:eastAsia="Times New Roman" w:hAnsi="Times New Roman" w:cs="Times New Roman"/>
          <w:sz w:val="24"/>
          <w:szCs w:val="24"/>
        </w:rPr>
        <w:t xml:space="preserve"> gestiti, quali sono i loro soci per capire se ci sono importanti aziende produttrici. Fondamentale infatti verificare che i consorzi non siano solo degli operatori finanziari. </w:t>
      </w:r>
      <w:r w:rsidR="00785995" w:rsidRPr="00DE5B09">
        <w:rPr>
          <w:rFonts w:ascii="Times New Roman" w:eastAsia="Times New Roman" w:hAnsi="Times New Roman" w:cs="Times New Roman"/>
          <w:sz w:val="24"/>
          <w:szCs w:val="24"/>
        </w:rPr>
        <w:t xml:space="preserve">Fondamentale poi </w:t>
      </w:r>
      <w:r w:rsidR="00141485" w:rsidRPr="00DE5B09">
        <w:rPr>
          <w:rFonts w:ascii="Times New Roman" w:eastAsia="Times New Roman" w:hAnsi="Times New Roman" w:cs="Times New Roman"/>
          <w:sz w:val="24"/>
          <w:szCs w:val="24"/>
          <w:u w:val="single"/>
        </w:rPr>
        <w:t>verificare anche che il loro trust sia slegato alle vicissitudini societarie e che abbiano sistemi di controllo anche esterni al Consorzio stesso.</w:t>
      </w:r>
    </w:p>
    <w:p w14:paraId="718E3D2D" w14:textId="77777777" w:rsidR="00DE5B09" w:rsidRPr="00DE5B09" w:rsidRDefault="00DE5B09" w:rsidP="00DE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470D10" w14:textId="436FD45A" w:rsidR="00141485" w:rsidRPr="00DE5B09" w:rsidRDefault="00141485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hAnsi="Times New Roman" w:cs="Times New Roman"/>
          <w:sz w:val="24"/>
          <w:szCs w:val="24"/>
        </w:rPr>
        <w:t>Se il consorzio fallisse o uscisse dal mercato, infatti, anche se il trust non è pignorabile e dovrebbe restare indenne in caso di insolvenza del Consorzio, non è molto facile riacquisire le somme versate né tantomeno è così certo che il Trustee renderà disponibile le somme versate ad un altro Sistema Collettivo subentrante che si occuperà della gestione del fine-vita.</w:t>
      </w:r>
    </w:p>
    <w:p w14:paraId="0A6D49AF" w14:textId="77777777" w:rsidR="00DE5B09" w:rsidRDefault="00DE5B09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CEADE" w14:textId="5DBBC8E9" w:rsidR="00141485" w:rsidRPr="00DE5B09" w:rsidRDefault="00141485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hAnsi="Times New Roman" w:cs="Times New Roman"/>
          <w:sz w:val="24"/>
          <w:szCs w:val="24"/>
        </w:rPr>
        <w:t xml:space="preserve">I consorzi per essere riconosciuti devono avere </w:t>
      </w:r>
      <w:r w:rsidR="00DE5B09">
        <w:rPr>
          <w:rFonts w:ascii="Times New Roman" w:hAnsi="Times New Roman" w:cs="Times New Roman"/>
          <w:sz w:val="24"/>
          <w:szCs w:val="24"/>
        </w:rPr>
        <w:t>specifiche c</w:t>
      </w:r>
      <w:r w:rsidRPr="00DE5B09">
        <w:rPr>
          <w:rFonts w:ascii="Times New Roman" w:hAnsi="Times New Roman" w:cs="Times New Roman"/>
          <w:sz w:val="24"/>
          <w:szCs w:val="24"/>
        </w:rPr>
        <w:t>aratteristiche</w:t>
      </w:r>
      <w:r w:rsidR="00DE5B09">
        <w:rPr>
          <w:rFonts w:ascii="Times New Roman" w:hAnsi="Times New Roman" w:cs="Times New Roman"/>
          <w:sz w:val="24"/>
          <w:szCs w:val="24"/>
        </w:rPr>
        <w:t>. In particolare devono essere:</w:t>
      </w:r>
    </w:p>
    <w:p w14:paraId="095B0824" w14:textId="3F1B4395" w:rsidR="00141485" w:rsidRPr="00DE5B09" w:rsidRDefault="00141485" w:rsidP="00DE5B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hAnsi="Times New Roman" w:cs="Times New Roman"/>
          <w:sz w:val="24"/>
          <w:szCs w:val="24"/>
        </w:rPr>
        <w:t>consorzi no profit</w:t>
      </w:r>
      <w:r w:rsidR="00DE5B09">
        <w:rPr>
          <w:rFonts w:ascii="Times New Roman" w:hAnsi="Times New Roman" w:cs="Times New Roman"/>
          <w:sz w:val="24"/>
          <w:szCs w:val="24"/>
        </w:rPr>
        <w:t>;</w:t>
      </w:r>
    </w:p>
    <w:p w14:paraId="0453F71E" w14:textId="58639CD4" w:rsidR="00141485" w:rsidRPr="00DE5B09" w:rsidRDefault="00141485" w:rsidP="00DE5B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hAnsi="Times New Roman" w:cs="Times New Roman"/>
          <w:sz w:val="24"/>
          <w:szCs w:val="24"/>
        </w:rPr>
        <w:t>dotati di uno statuto conforme allo statuto-tipo ed approvato dal MASE (Ministero dell’ambiente e della sicurezza energetica)</w:t>
      </w:r>
      <w:r w:rsidR="00DE5B09">
        <w:rPr>
          <w:rFonts w:ascii="Times New Roman" w:hAnsi="Times New Roman" w:cs="Times New Roman"/>
          <w:sz w:val="24"/>
          <w:szCs w:val="24"/>
        </w:rPr>
        <w:t>;</w:t>
      </w:r>
    </w:p>
    <w:p w14:paraId="243BE98E" w14:textId="6D49EFF6" w:rsidR="00141485" w:rsidRPr="00DE5B09" w:rsidRDefault="00141485" w:rsidP="00DE5B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hAnsi="Times New Roman" w:cs="Times New Roman"/>
          <w:sz w:val="24"/>
          <w:szCs w:val="24"/>
        </w:rPr>
        <w:t>iscritti al registro AEE</w:t>
      </w:r>
      <w:r w:rsidR="00DE5B09">
        <w:rPr>
          <w:rFonts w:ascii="Times New Roman" w:hAnsi="Times New Roman" w:cs="Times New Roman"/>
          <w:sz w:val="24"/>
          <w:szCs w:val="24"/>
        </w:rPr>
        <w:t>:</w:t>
      </w:r>
    </w:p>
    <w:p w14:paraId="297BB425" w14:textId="1800D497" w:rsidR="00141485" w:rsidRPr="00DE5B09" w:rsidRDefault="00141485" w:rsidP="00DE5B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hAnsi="Times New Roman" w:cs="Times New Roman"/>
          <w:sz w:val="24"/>
          <w:szCs w:val="24"/>
        </w:rPr>
        <w:t xml:space="preserve">iscritti al Centro di coordinamento RAEE </w:t>
      </w:r>
      <w:r w:rsidR="00DE5B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E5B09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="00DE5B09">
        <w:rPr>
          <w:rFonts w:ascii="Times New Roman" w:hAnsi="Times New Roman" w:cs="Times New Roman"/>
          <w:sz w:val="24"/>
          <w:szCs w:val="24"/>
        </w:rPr>
        <w:t xml:space="preserve"> RAEE) </w:t>
      </w:r>
      <w:r w:rsidRPr="00DE5B09">
        <w:rPr>
          <w:rFonts w:ascii="Times New Roman" w:hAnsi="Times New Roman" w:cs="Times New Roman"/>
          <w:sz w:val="24"/>
          <w:szCs w:val="24"/>
        </w:rPr>
        <w:t>se gestori anche di pannelli PV domestici</w:t>
      </w:r>
      <w:r w:rsidR="00DE5B09">
        <w:rPr>
          <w:rFonts w:ascii="Times New Roman" w:hAnsi="Times New Roman" w:cs="Times New Roman"/>
          <w:sz w:val="24"/>
          <w:szCs w:val="24"/>
        </w:rPr>
        <w:t>;</w:t>
      </w:r>
    </w:p>
    <w:p w14:paraId="09BAB4D4" w14:textId="57DC17AD" w:rsidR="00141485" w:rsidRPr="00DE5B09" w:rsidRDefault="00141485" w:rsidP="00DE5B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09">
        <w:rPr>
          <w:rFonts w:ascii="Times New Roman" w:hAnsi="Times New Roman" w:cs="Times New Roman"/>
          <w:sz w:val="24"/>
          <w:szCs w:val="24"/>
        </w:rPr>
        <w:t>dotati di un Trust conforme alle specifiche del Disciplinare tecnico del GSE del 2012 e gestito ed alimentato secondo i principi ivi riportati</w:t>
      </w:r>
      <w:r w:rsidR="00DE5B09">
        <w:rPr>
          <w:rFonts w:ascii="Times New Roman" w:hAnsi="Times New Roman" w:cs="Times New Roman"/>
          <w:sz w:val="24"/>
          <w:szCs w:val="24"/>
        </w:rPr>
        <w:t>.</w:t>
      </w:r>
    </w:p>
    <w:p w14:paraId="17D74E95" w14:textId="77777777" w:rsidR="00DE5B09" w:rsidRDefault="00DE5B09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09E2A7" w14:textId="300B5CA5" w:rsidR="00141485" w:rsidRPr="00DE5B09" w:rsidRDefault="00141485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5B09">
        <w:rPr>
          <w:rFonts w:ascii="Times New Roman" w:hAnsi="Times New Roman" w:cs="Times New Roman"/>
          <w:sz w:val="24"/>
          <w:szCs w:val="24"/>
          <w:u w:val="single"/>
        </w:rPr>
        <w:t xml:space="preserve">Tendenzialmente far riferimento a quelli del </w:t>
      </w:r>
      <w:proofErr w:type="spellStart"/>
      <w:r w:rsidRPr="00DE5B09">
        <w:rPr>
          <w:rFonts w:ascii="Times New Roman" w:hAnsi="Times New Roman" w:cs="Times New Roman"/>
          <w:sz w:val="24"/>
          <w:szCs w:val="24"/>
          <w:u w:val="single"/>
        </w:rPr>
        <w:t>Cdc</w:t>
      </w:r>
      <w:proofErr w:type="spellEnd"/>
      <w:r w:rsidRPr="00DE5B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5B09">
        <w:rPr>
          <w:rFonts w:ascii="Times New Roman" w:hAnsi="Times New Roman" w:cs="Times New Roman"/>
          <w:sz w:val="24"/>
          <w:szCs w:val="24"/>
          <w:u w:val="single"/>
        </w:rPr>
        <w:t>RAEE</w:t>
      </w:r>
      <w:r w:rsidRPr="00DE5B09">
        <w:rPr>
          <w:rFonts w:ascii="Times New Roman" w:hAnsi="Times New Roman" w:cs="Times New Roman"/>
          <w:sz w:val="24"/>
          <w:szCs w:val="24"/>
          <w:u w:val="single"/>
        </w:rPr>
        <w:t xml:space="preserve"> assicura che siano operatori più solidi</w:t>
      </w:r>
      <w:r w:rsidR="005F459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5016BF8" w14:textId="2A1C972A" w:rsidR="00033621" w:rsidRPr="00DE5B09" w:rsidRDefault="00000000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033621" w:rsidRPr="00DE5B0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https://www.cdcraee.it/sistema-raee/attori-del-sistema-raee/sistemi-collettivi/</w:t>
        </w:r>
      </w:hyperlink>
    </w:p>
    <w:p w14:paraId="79E8E7A5" w14:textId="77777777" w:rsidR="00033621" w:rsidRPr="00DE5B09" w:rsidRDefault="00033621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A8804D" w14:textId="31853A1D" w:rsidR="00141485" w:rsidRPr="00DE5B09" w:rsidRDefault="00141485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9D">
        <w:rPr>
          <w:rFonts w:ascii="Times New Roman" w:hAnsi="Times New Roman" w:cs="Times New Roman"/>
          <w:sz w:val="24"/>
          <w:szCs w:val="24"/>
        </w:rPr>
        <w:t>Nel caso di attivazione dell’Opzione Consorzio è bene valutare, inoltre, attentamente le clausole contrattuali proposte</w:t>
      </w:r>
      <w:r w:rsidRPr="00DE5B09">
        <w:rPr>
          <w:rFonts w:ascii="Times New Roman" w:hAnsi="Times New Roman" w:cs="Times New Roman"/>
          <w:sz w:val="24"/>
          <w:szCs w:val="24"/>
        </w:rPr>
        <w:t xml:space="preserve"> in tema di:</w:t>
      </w:r>
    </w:p>
    <w:p w14:paraId="5D4F0BE6" w14:textId="0593877D" w:rsidR="00141485" w:rsidRPr="00DE5B09" w:rsidRDefault="005F459D" w:rsidP="00DE5B0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41485" w:rsidRPr="00DE5B09">
        <w:rPr>
          <w:rFonts w:ascii="Times New Roman" w:hAnsi="Times New Roman" w:cs="Times New Roman"/>
          <w:sz w:val="24"/>
          <w:szCs w:val="24"/>
        </w:rPr>
        <w:t>onferma del versamento complessivo della quota (10 €) nel Trust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884F0C" w14:textId="25501BE5" w:rsidR="00141485" w:rsidRPr="00DE5B09" w:rsidRDefault="005F459D" w:rsidP="00DE5B0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41485" w:rsidRPr="00DE5B09">
        <w:rPr>
          <w:rFonts w:ascii="Times New Roman" w:hAnsi="Times New Roman" w:cs="Times New Roman"/>
          <w:sz w:val="24"/>
          <w:szCs w:val="24"/>
        </w:rPr>
        <w:t>osti amministrativi per la gestione della pratica da parte del Consorzio, non compresi nella quota a garanzia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4D46B1" w14:textId="23CC9AFA" w:rsidR="00141485" w:rsidRPr="00DE5B09" w:rsidRDefault="005F459D" w:rsidP="00DE5B0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41485" w:rsidRPr="00DE5B09">
        <w:rPr>
          <w:rFonts w:ascii="Times New Roman" w:hAnsi="Times New Roman" w:cs="Times New Roman"/>
          <w:sz w:val="24"/>
          <w:szCs w:val="24"/>
        </w:rPr>
        <w:t>ttività operative incluse ed escluse</w:t>
      </w:r>
      <w:r w:rsidR="00C421F7" w:rsidRPr="00DE5B09">
        <w:rPr>
          <w:rFonts w:ascii="Times New Roman" w:hAnsi="Times New Roman" w:cs="Times New Roman"/>
          <w:sz w:val="24"/>
          <w:szCs w:val="24"/>
        </w:rPr>
        <w:t xml:space="preserve">. Solitamente raccolta trasporto e smaltimento sono coperto ma potrebbe non essere previsto lo </w:t>
      </w:r>
      <w:r w:rsidR="00141485" w:rsidRPr="00DE5B09">
        <w:rPr>
          <w:rFonts w:ascii="Times New Roman" w:hAnsi="Times New Roman" w:cs="Times New Roman"/>
          <w:sz w:val="24"/>
          <w:szCs w:val="24"/>
        </w:rPr>
        <w:t>smontaggio</w:t>
      </w:r>
      <w:r w:rsidR="00C421F7" w:rsidRPr="00DE5B09">
        <w:rPr>
          <w:rFonts w:ascii="Times New Roman" w:hAnsi="Times New Roman" w:cs="Times New Roman"/>
          <w:sz w:val="24"/>
          <w:szCs w:val="24"/>
        </w:rPr>
        <w:t xml:space="preserve"> dei moduli</w:t>
      </w:r>
      <w:r w:rsidR="00141485" w:rsidRPr="00DE5B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9DCB25" w14:textId="019EB659" w:rsidR="00141485" w:rsidRPr="00DE5B09" w:rsidRDefault="005F459D" w:rsidP="00DE5B0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41485" w:rsidRPr="00DE5B09">
        <w:rPr>
          <w:rFonts w:ascii="Times New Roman" w:hAnsi="Times New Roman" w:cs="Times New Roman"/>
          <w:sz w:val="24"/>
          <w:szCs w:val="24"/>
        </w:rPr>
        <w:t>anleve e responsabilità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8711EC" w14:textId="0ED4EC26" w:rsidR="00141485" w:rsidRPr="00DE5B09" w:rsidRDefault="005F459D" w:rsidP="00DE5B0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41485" w:rsidRPr="00DE5B09">
        <w:rPr>
          <w:rFonts w:ascii="Times New Roman" w:hAnsi="Times New Roman" w:cs="Times New Roman"/>
          <w:sz w:val="24"/>
          <w:szCs w:val="24"/>
        </w:rPr>
        <w:t>estione finanziaria del Trust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C76F84" w14:textId="5FD109A2" w:rsidR="00141485" w:rsidRPr="00DE5B09" w:rsidRDefault="005F459D" w:rsidP="00DE5B0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41485" w:rsidRPr="00DE5B09">
        <w:rPr>
          <w:rFonts w:ascii="Times New Roman" w:hAnsi="Times New Roman" w:cs="Times New Roman"/>
          <w:sz w:val="24"/>
          <w:szCs w:val="24"/>
        </w:rPr>
        <w:t>estinazione eventuali avanzi post gestione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0DDA32" w14:textId="7374AAF2" w:rsidR="00141485" w:rsidRPr="00DE5B09" w:rsidRDefault="005F459D" w:rsidP="00DE5B0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41485" w:rsidRPr="00DE5B09">
        <w:rPr>
          <w:rFonts w:ascii="Times New Roman" w:hAnsi="Times New Roman" w:cs="Times New Roman"/>
          <w:sz w:val="24"/>
          <w:szCs w:val="24"/>
        </w:rPr>
        <w:t>osa succede in caso di non capienza del contributo o in caso di liquidazione del Consorzio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56A250" w14:textId="6661CA4D" w:rsidR="00222544" w:rsidRPr="00DE5B09" w:rsidRDefault="005F459D" w:rsidP="00DE5B0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41485" w:rsidRPr="00DE5B09">
        <w:rPr>
          <w:rFonts w:ascii="Times New Roman" w:hAnsi="Times New Roman" w:cs="Times New Roman"/>
          <w:sz w:val="24"/>
          <w:szCs w:val="24"/>
        </w:rPr>
        <w:t>ventuale restituzione del contributo a seguito di vendita dei moduli come AEE usate ed esportazione.</w:t>
      </w:r>
    </w:p>
    <w:p w14:paraId="759D45E4" w14:textId="6319F41A" w:rsidR="00033621" w:rsidRPr="00DE5B09" w:rsidRDefault="00033621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829E3" w14:textId="2AABDAFC" w:rsidR="00033621" w:rsidRPr="00DE5B09" w:rsidRDefault="00033621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CB025" w14:textId="77777777" w:rsidR="00033621" w:rsidRPr="00DE5B09" w:rsidRDefault="00033621" w:rsidP="00DE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3621" w:rsidRPr="00DE5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49AC" w14:textId="77777777" w:rsidR="008E240A" w:rsidRDefault="008E240A" w:rsidP="002F53D6">
      <w:pPr>
        <w:spacing w:after="0" w:line="240" w:lineRule="auto"/>
      </w:pPr>
      <w:r>
        <w:separator/>
      </w:r>
    </w:p>
  </w:endnote>
  <w:endnote w:type="continuationSeparator" w:id="0">
    <w:p w14:paraId="5F1DBB79" w14:textId="77777777" w:rsidR="008E240A" w:rsidRDefault="008E240A" w:rsidP="002F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58ED" w14:textId="77777777" w:rsidR="008E240A" w:rsidRDefault="008E240A" w:rsidP="002F53D6">
      <w:pPr>
        <w:spacing w:after="0" w:line="240" w:lineRule="auto"/>
      </w:pPr>
      <w:r>
        <w:separator/>
      </w:r>
    </w:p>
  </w:footnote>
  <w:footnote w:type="continuationSeparator" w:id="0">
    <w:p w14:paraId="4D8853D1" w14:textId="77777777" w:rsidR="008E240A" w:rsidRDefault="008E240A" w:rsidP="002F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4CA0"/>
    <w:multiLevelType w:val="hybridMultilevel"/>
    <w:tmpl w:val="BBAA0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1A3F"/>
    <w:multiLevelType w:val="hybridMultilevel"/>
    <w:tmpl w:val="A580A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3B95"/>
    <w:multiLevelType w:val="hybridMultilevel"/>
    <w:tmpl w:val="012E9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A3AE8"/>
    <w:multiLevelType w:val="hybridMultilevel"/>
    <w:tmpl w:val="48E4C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72929">
    <w:abstractNumId w:val="1"/>
  </w:num>
  <w:num w:numId="2" w16cid:durableId="1836801905">
    <w:abstractNumId w:val="3"/>
  </w:num>
  <w:num w:numId="3" w16cid:durableId="1018199425">
    <w:abstractNumId w:val="0"/>
  </w:num>
  <w:num w:numId="4" w16cid:durableId="587228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06"/>
    <w:rsid w:val="00022594"/>
    <w:rsid w:val="00033621"/>
    <w:rsid w:val="0007187D"/>
    <w:rsid w:val="00141485"/>
    <w:rsid w:val="00222544"/>
    <w:rsid w:val="002F53D6"/>
    <w:rsid w:val="00301668"/>
    <w:rsid w:val="00342B0C"/>
    <w:rsid w:val="00365A78"/>
    <w:rsid w:val="003A6EC9"/>
    <w:rsid w:val="003C20FC"/>
    <w:rsid w:val="003F052C"/>
    <w:rsid w:val="00523EE0"/>
    <w:rsid w:val="00547A21"/>
    <w:rsid w:val="005E1D54"/>
    <w:rsid w:val="005F459D"/>
    <w:rsid w:val="00633532"/>
    <w:rsid w:val="006F1FFE"/>
    <w:rsid w:val="00766822"/>
    <w:rsid w:val="00785995"/>
    <w:rsid w:val="007872CE"/>
    <w:rsid w:val="007B0B31"/>
    <w:rsid w:val="007C4BFA"/>
    <w:rsid w:val="0082511E"/>
    <w:rsid w:val="00893578"/>
    <w:rsid w:val="008E240A"/>
    <w:rsid w:val="00920CAB"/>
    <w:rsid w:val="00933796"/>
    <w:rsid w:val="00996933"/>
    <w:rsid w:val="00B60F4F"/>
    <w:rsid w:val="00BC59D4"/>
    <w:rsid w:val="00C421F7"/>
    <w:rsid w:val="00C94957"/>
    <w:rsid w:val="00CD0B06"/>
    <w:rsid w:val="00D34FED"/>
    <w:rsid w:val="00D50C67"/>
    <w:rsid w:val="00D85BA6"/>
    <w:rsid w:val="00DE5B09"/>
    <w:rsid w:val="00E44F15"/>
    <w:rsid w:val="00E74A03"/>
    <w:rsid w:val="00F1001D"/>
    <w:rsid w:val="00F31675"/>
    <w:rsid w:val="00FD04CF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2ABE"/>
  <w15:chartTrackingRefBased/>
  <w15:docId w15:val="{B6B41083-461E-42E7-B68A-00EB561E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0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0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0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0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0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0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0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0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0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0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0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0B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0B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0B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0B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0B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0B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0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0B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0B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0B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0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0B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0B06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BC59D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85BA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187D"/>
    <w:rPr>
      <w:color w:val="96607D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53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53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53D6"/>
    <w:rPr>
      <w:vertAlign w:val="superscript"/>
    </w:rPr>
  </w:style>
  <w:style w:type="paragraph" w:customStyle="1" w:styleId="Default">
    <w:name w:val="Default"/>
    <w:rsid w:val="0099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222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92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47122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063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dcraee.it/sistema-raee/attori-del-sistema-raee/sistemi-colletti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nnovabili.it/economia-circolare/riciclo/gestione-fine-vita-moduli-fotovoltaici-trust-eco-pv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3E09-D63D-4225-9DD7-D41CABE0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Papili</dc:creator>
  <cp:keywords/>
  <dc:description/>
  <cp:lastModifiedBy>Renzo Cavestro</cp:lastModifiedBy>
  <cp:revision>2</cp:revision>
  <dcterms:created xsi:type="dcterms:W3CDTF">2024-04-11T09:41:00Z</dcterms:created>
  <dcterms:modified xsi:type="dcterms:W3CDTF">2024-04-11T09:41:00Z</dcterms:modified>
</cp:coreProperties>
</file>